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459E" w14:textId="06E4A32A" w:rsidR="00360A48" w:rsidRPr="008728B0" w:rsidRDefault="00360A48" w:rsidP="00FD7670">
      <w:pPr>
        <w:spacing w:before="120" w:after="120"/>
        <w:rPr>
          <w:rFonts w:asciiTheme="minorHAnsi" w:hAnsiTheme="minorHAnsi" w:cstheme="minorHAnsi"/>
          <w:sz w:val="24"/>
          <w:szCs w:val="24"/>
        </w:rPr>
      </w:pPr>
      <w:r w:rsidRPr="008728B0">
        <w:rPr>
          <w:rFonts w:asciiTheme="minorHAnsi" w:hAnsiTheme="minorHAnsi" w:cstheme="minorHAnsi"/>
          <w:sz w:val="24"/>
          <w:szCs w:val="24"/>
        </w:rPr>
        <w:t>07</w:t>
      </w:r>
      <w:r w:rsidRPr="008728B0">
        <w:rPr>
          <w:rFonts w:asciiTheme="minorHAnsi" w:hAnsiTheme="minorHAnsi" w:cstheme="minorHAnsi"/>
          <w:sz w:val="24"/>
          <w:szCs w:val="24"/>
        </w:rPr>
        <w:tab/>
      </w:r>
      <w:r w:rsidR="00FD7670" w:rsidRPr="008728B0">
        <w:rPr>
          <w:rFonts w:asciiTheme="minorHAnsi" w:hAnsiTheme="minorHAnsi" w:cstheme="minorHAnsi"/>
          <w:sz w:val="24"/>
          <w:szCs w:val="24"/>
        </w:rPr>
        <w:tab/>
      </w:r>
      <w:r w:rsidRPr="008728B0">
        <w:rPr>
          <w:rFonts w:asciiTheme="minorHAnsi" w:hAnsiTheme="minorHAnsi" w:cstheme="minorHAnsi"/>
          <w:sz w:val="24"/>
          <w:szCs w:val="24"/>
        </w:rPr>
        <w:t>Record keeping procedures</w:t>
      </w:r>
    </w:p>
    <w:p w14:paraId="7AD771CC" w14:textId="77777777" w:rsidR="00360A48" w:rsidRPr="008728B0" w:rsidRDefault="00360A48" w:rsidP="008728B0">
      <w:pPr>
        <w:spacing w:before="120"/>
        <w:rPr>
          <w:rFonts w:asciiTheme="minorHAnsi" w:hAnsiTheme="minorHAnsi" w:cstheme="minorHAnsi"/>
          <w:b/>
          <w:bCs/>
          <w:sz w:val="24"/>
          <w:szCs w:val="24"/>
        </w:rPr>
      </w:pPr>
      <w:r w:rsidRPr="008728B0">
        <w:rPr>
          <w:rFonts w:asciiTheme="minorHAnsi" w:hAnsiTheme="minorHAnsi" w:cstheme="minorHAnsi"/>
          <w:b/>
          <w:bCs/>
          <w:sz w:val="24"/>
          <w:szCs w:val="24"/>
        </w:rPr>
        <w:t>07.3</w:t>
      </w:r>
      <w:r w:rsidRPr="008728B0">
        <w:rPr>
          <w:rFonts w:asciiTheme="minorHAnsi" w:hAnsiTheme="minorHAnsi" w:cstheme="minorHAnsi"/>
          <w:b/>
          <w:sz w:val="24"/>
          <w:szCs w:val="24"/>
        </w:rPr>
        <w:tab/>
      </w:r>
      <w:r w:rsidRPr="008728B0">
        <w:rPr>
          <w:rFonts w:asciiTheme="minorHAnsi" w:hAnsiTheme="minorHAnsi" w:cstheme="minorHAnsi"/>
          <w:b/>
          <w:bCs/>
          <w:sz w:val="24"/>
          <w:szCs w:val="24"/>
        </w:rPr>
        <w:t>Client access to records</w:t>
      </w:r>
    </w:p>
    <w:p w14:paraId="5A7715CA" w14:textId="77777777" w:rsidR="008728B0" w:rsidRPr="00FD7670" w:rsidRDefault="008728B0" w:rsidP="008728B0">
      <w:pPr>
        <w:rPr>
          <w:rFonts w:asciiTheme="minorHAnsi" w:hAnsiTheme="minorHAnsi" w:cstheme="minorHAnsi"/>
          <w:b/>
          <w:bCs/>
        </w:rPr>
      </w:pPr>
    </w:p>
    <w:p w14:paraId="3635902D" w14:textId="77777777" w:rsidR="00360A48" w:rsidRPr="00FD7670" w:rsidRDefault="00360A48" w:rsidP="008728B0">
      <w:pPr>
        <w:spacing w:after="120"/>
        <w:rPr>
          <w:rFonts w:asciiTheme="minorHAnsi" w:hAnsiTheme="minorHAnsi" w:cstheme="minorHAnsi"/>
        </w:rPr>
      </w:pPr>
      <w:r w:rsidRPr="00FD7670">
        <w:rPr>
          <w:rFonts w:asciiTheme="minorHAnsi" w:hAnsiTheme="minorHAnsi" w:cstheme="minorHAnsi"/>
        </w:rPr>
        <w:t>Under the General Data Protection Regulations there are additional rights granted to data subjects which must be protected by the setting.</w:t>
      </w:r>
    </w:p>
    <w:p w14:paraId="3FE8EBEF" w14:textId="77777777" w:rsidR="00360A48" w:rsidRPr="00FD7670" w:rsidRDefault="00360A48" w:rsidP="008728B0">
      <w:pPr>
        <w:pStyle w:val="NormalWeb"/>
        <w:shd w:val="clear" w:color="auto" w:fill="FFFFFF" w:themeFill="background1"/>
        <w:spacing w:before="120" w:beforeAutospacing="0" w:after="120" w:afterAutospacing="0" w:line="320" w:lineRule="atLeast"/>
        <w:rPr>
          <w:rFonts w:asciiTheme="minorHAnsi" w:hAnsiTheme="minorHAnsi" w:cstheme="minorHAnsi"/>
          <w:sz w:val="22"/>
          <w:szCs w:val="22"/>
        </w:rPr>
      </w:pPr>
      <w:r w:rsidRPr="00FD7670">
        <w:rPr>
          <w:rFonts w:asciiTheme="minorHAnsi" w:hAnsiTheme="minorHAnsi" w:cstheme="minorHAnsi"/>
          <w:sz w:val="22"/>
          <w:szCs w:val="22"/>
        </w:rPr>
        <w:t xml:space="preserve">The parent is the ‘subject’ of the file in the case where a child is too young to give ‘informed consent’ and has a right to see information that the setting has compiled on them. </w:t>
      </w:r>
    </w:p>
    <w:p w14:paraId="65B004A4"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If a parent wishes to see the file, a written request is made, which the setting acknowledges in writing, informing the parent that an arrangement will be made for him/her to see the file contents, subject to third party consent.</w:t>
      </w:r>
    </w:p>
    <w:p w14:paraId="2CAEF919"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14:paraId="4F96EEAD"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A fee may be charged to the parent for additional requests for the same material, or any requests that will incur excessive administration costs.</w:t>
      </w:r>
    </w:p>
    <w:p w14:paraId="6C4F3E55"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The setting manager informs their line manager and legal advice is sought.</w:t>
      </w:r>
    </w:p>
    <w:p w14:paraId="37173AC4"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 xml:space="preserve">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w:t>
      </w:r>
      <w:proofErr w:type="gramStart"/>
      <w:r w:rsidRPr="00FD7670">
        <w:rPr>
          <w:rFonts w:asciiTheme="minorHAnsi" w:hAnsiTheme="minorHAnsi" w:cstheme="minorHAnsi"/>
        </w:rPr>
        <w:t>balanced</w:t>
      </w:r>
      <w:proofErr w:type="gramEnd"/>
      <w:r w:rsidRPr="00FD7670">
        <w:rPr>
          <w:rFonts w:asciiTheme="minorHAnsi" w:hAnsiTheme="minorHAnsi" w:cstheme="minorHAnsi"/>
        </w:rPr>
        <w:t xml:space="preserve"> and proportionate and should have quality assurance processes in place to ensure that files are checked for quality regularly and that any issues are addressed promptly.</w:t>
      </w:r>
    </w:p>
    <w:p w14:paraId="11363CA9" w14:textId="77777777" w:rsidR="00360A48" w:rsidRPr="00FD7670" w:rsidRDefault="00360A48" w:rsidP="008728B0">
      <w:pPr>
        <w:numPr>
          <w:ilvl w:val="0"/>
          <w:numId w:val="4"/>
        </w:numPr>
        <w:tabs>
          <w:tab w:val="clear" w:pos="360"/>
        </w:tabs>
        <w:spacing w:before="120" w:after="120"/>
        <w:rPr>
          <w:rFonts w:asciiTheme="minorHAnsi" w:hAnsiTheme="minorHAnsi" w:cstheme="minorHAnsi"/>
          <w:color w:val="000000" w:themeColor="text1"/>
        </w:rPr>
      </w:pPr>
      <w:r w:rsidRPr="00FD7670">
        <w:rPr>
          <w:rFonts w:asciiTheme="minorHAnsi" w:hAnsiTheme="minorHAnsi" w:cstheme="minorHAnsi"/>
        </w:rPr>
        <w:t xml:space="preserve">Each of those individuals are written to explaining that the subject of the file has requested sight of the file which contains a reference to them, stating what this is. </w:t>
      </w:r>
    </w:p>
    <w:p w14:paraId="68C1CF7F"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 xml:space="preserve">They are asked to reply in writing to the setting manager giving or refusing consent for disclosure of that material.  </w:t>
      </w:r>
    </w:p>
    <w:p w14:paraId="6E422C80"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Copies of these letters and their replies are kept on the child’s file.</w:t>
      </w:r>
    </w:p>
    <w:p w14:paraId="7BB223E1"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 xml:space="preserve">Agencies will normally refuse consent to share information, and the parent should be redirected to those agencies for a request to see their file held by that agency. </w:t>
      </w:r>
    </w:p>
    <w:p w14:paraId="7C1778D4"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 xml:space="preserve">Entries where you have contacted another agency may remain, for example, a request for permission from social care to leave in an entry where the parent was already party to that information.  </w:t>
      </w:r>
    </w:p>
    <w:p w14:paraId="2B83543A" w14:textId="77777777" w:rsidR="00360A48" w:rsidRPr="00FD7670" w:rsidRDefault="00360A48" w:rsidP="008728B0">
      <w:pPr>
        <w:numPr>
          <w:ilvl w:val="0"/>
          <w:numId w:val="1"/>
        </w:numPr>
        <w:tabs>
          <w:tab w:val="clear" w:pos="360"/>
          <w:tab w:val="num" w:pos="284"/>
        </w:tabs>
        <w:spacing w:before="120" w:after="120"/>
        <w:ind w:left="284" w:hanging="284"/>
        <w:rPr>
          <w:rFonts w:asciiTheme="minorHAnsi" w:hAnsiTheme="minorHAnsi" w:cstheme="minorHAnsi"/>
          <w:color w:val="000000" w:themeColor="text1"/>
        </w:rPr>
      </w:pPr>
      <w:r w:rsidRPr="00FD7670">
        <w:rPr>
          <w:rFonts w:asciiTheme="minorHAnsi" w:hAnsiTheme="minorHAnsi" w:cstheme="minorHAnsi"/>
        </w:rPr>
        <w:t>Each family member noted on the file is a third party, so where there are separate entries pertaining to each parent, step-parent, grandparent etc, each of those have to be written to regarding third party consent.</w:t>
      </w:r>
    </w:p>
    <w:p w14:paraId="68430E9C" w14:textId="77777777" w:rsidR="00360A48" w:rsidRPr="00FD7670" w:rsidRDefault="00360A48" w:rsidP="008728B0">
      <w:pPr>
        <w:numPr>
          <w:ilvl w:val="0"/>
          <w:numId w:val="1"/>
        </w:numPr>
        <w:tabs>
          <w:tab w:val="clear" w:pos="360"/>
        </w:tabs>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lastRenderedPageBreak/>
        <w:t xml:space="preserve">Members of staff should also be written to, but the setting reserves the right under the legislation to override a refusal for consent, or just delete the name and not the information. </w:t>
      </w:r>
    </w:p>
    <w:p w14:paraId="6F9452D5" w14:textId="77777777" w:rsidR="00360A48" w:rsidRPr="00FD7670" w:rsidRDefault="00360A48" w:rsidP="008728B0">
      <w:pPr>
        <w:numPr>
          <w:ilvl w:val="0"/>
          <w:numId w:val="2"/>
        </w:numPr>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t>If the member of staff has provided information that could be considered ‘sensitive’, and the staff member may be in danger if that information is disclosed, then the refusal may be granted.</w:t>
      </w:r>
    </w:p>
    <w:p w14:paraId="283A9F41" w14:textId="77777777" w:rsidR="00360A48" w:rsidRPr="00FD7670" w:rsidRDefault="00360A48" w:rsidP="008728B0">
      <w:pPr>
        <w:numPr>
          <w:ilvl w:val="0"/>
          <w:numId w:val="2"/>
        </w:numPr>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t xml:space="preserve">If that information is the basis of a police investigation, then refusal should also be granted. </w:t>
      </w:r>
    </w:p>
    <w:p w14:paraId="6BFC4D6A" w14:textId="77777777" w:rsidR="00360A48" w:rsidRPr="00FD7670" w:rsidRDefault="00360A48" w:rsidP="008728B0">
      <w:pPr>
        <w:numPr>
          <w:ilvl w:val="0"/>
          <w:numId w:val="2"/>
        </w:numPr>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4932BC51" w14:textId="77777777" w:rsidR="00360A48" w:rsidRPr="00FD7670" w:rsidRDefault="00360A48" w:rsidP="008728B0">
      <w:pPr>
        <w:numPr>
          <w:ilvl w:val="0"/>
          <w:numId w:val="2"/>
        </w:numPr>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3A6F3CFA" w14:textId="77777777" w:rsidR="00360A48" w:rsidRPr="00FD7670" w:rsidRDefault="00360A48" w:rsidP="008728B0">
      <w:pPr>
        <w:numPr>
          <w:ilvl w:val="0"/>
          <w:numId w:val="2"/>
        </w:numPr>
        <w:spacing w:before="120" w:after="120"/>
        <w:ind w:left="567" w:hanging="283"/>
        <w:rPr>
          <w:rFonts w:asciiTheme="minorHAnsi" w:hAnsiTheme="minorHAnsi" w:cstheme="minorHAnsi"/>
          <w:color w:val="000000" w:themeColor="text1"/>
        </w:rPr>
      </w:pPr>
      <w:r w:rsidRPr="00FD7670">
        <w:rPr>
          <w:rFonts w:asciiTheme="minorHAnsi" w:hAnsiTheme="minorHAnsi" w:cstheme="minorHAnsi"/>
        </w:rPr>
        <w:t>In each case this should be discussed with members of staff and decisions recorded.</w:t>
      </w:r>
    </w:p>
    <w:p w14:paraId="58831C95"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14:paraId="38EC7132"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14:paraId="61BF68AC"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‘cleaned’ copy is then photocopied again and collated for the parent to see.</w:t>
      </w:r>
    </w:p>
    <w:p w14:paraId="071F82B4"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setting manager informs the parent that the file is now ready and invites him/her to make an appointment to view it.</w:t>
      </w:r>
    </w:p>
    <w:p w14:paraId="5EE5DC4D"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3341568E"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parent may take a copy of the prepared file away, but it is never handed over without discussion.</w:t>
      </w:r>
    </w:p>
    <w:p w14:paraId="6CA26498"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2CFA0159"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 xml:space="preserve">If a parent feels aggrieved about any entry in the file, or the resulting outcome, then the parent should be referred to section 10.2 Complaints procedure for parents and service users. </w:t>
      </w:r>
    </w:p>
    <w:p w14:paraId="0E127CFD"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7651BE96" w14:textId="77777777" w:rsidR="00360A48" w:rsidRPr="00FD7670" w:rsidRDefault="00360A48" w:rsidP="008728B0">
      <w:pPr>
        <w:numPr>
          <w:ilvl w:val="0"/>
          <w:numId w:val="1"/>
        </w:numPr>
        <w:spacing w:before="120" w:after="120"/>
        <w:ind w:left="283" w:hanging="283"/>
        <w:rPr>
          <w:rFonts w:asciiTheme="minorHAnsi" w:hAnsiTheme="minorHAnsi" w:cstheme="minorHAnsi"/>
          <w:color w:val="000000" w:themeColor="text1"/>
        </w:rPr>
      </w:pPr>
      <w:r w:rsidRPr="00FD7670">
        <w:rPr>
          <w:rFonts w:asciiTheme="minorHAnsi" w:hAnsiTheme="minorHAnsi" w:cstheme="minorHAnsi"/>
        </w:rPr>
        <w:t xml:space="preserve">If there are any controversial aspects of the content of a client’s file, legal advice must be sought. This might be where there is a court case between parents or where social care or the police may be considering legal action, or where a case has already </w:t>
      </w:r>
      <w:proofErr w:type="gramStart"/>
      <w:r w:rsidRPr="00FD7670">
        <w:rPr>
          <w:rFonts w:asciiTheme="minorHAnsi" w:hAnsiTheme="minorHAnsi" w:cstheme="minorHAnsi"/>
        </w:rPr>
        <w:t>completed</w:t>
      </w:r>
      <w:proofErr w:type="gramEnd"/>
      <w:r w:rsidRPr="00FD7670">
        <w:rPr>
          <w:rFonts w:asciiTheme="minorHAnsi" w:hAnsiTheme="minorHAnsi" w:cstheme="minorHAnsi"/>
        </w:rPr>
        <w:t xml:space="preserve"> and an appeal process is underway.</w:t>
      </w:r>
    </w:p>
    <w:p w14:paraId="3909880A" w14:textId="77777777" w:rsidR="00360A48" w:rsidRPr="008728B0" w:rsidRDefault="00360A48" w:rsidP="008728B0">
      <w:pPr>
        <w:numPr>
          <w:ilvl w:val="0"/>
          <w:numId w:val="1"/>
        </w:numPr>
        <w:spacing w:before="120"/>
        <w:ind w:left="283" w:hanging="283"/>
        <w:rPr>
          <w:rFonts w:asciiTheme="minorHAnsi" w:hAnsiTheme="minorHAnsi" w:cstheme="minorHAnsi"/>
          <w:color w:val="000000" w:themeColor="text1"/>
        </w:rPr>
      </w:pPr>
      <w:r w:rsidRPr="00FD7670">
        <w:rPr>
          <w:rFonts w:asciiTheme="minorHAnsi" w:hAnsiTheme="minorHAnsi" w:cstheme="minorHAnsi"/>
        </w:rPr>
        <w:lastRenderedPageBreak/>
        <w:t>A setting should never ‘under-record’ for fear of the parent seeing, nor should they make ‘personal notes’ elsewhere.</w:t>
      </w:r>
    </w:p>
    <w:p w14:paraId="0FD659A7" w14:textId="77777777" w:rsidR="008728B0" w:rsidRPr="00FD7670" w:rsidRDefault="008728B0" w:rsidP="008728B0">
      <w:pPr>
        <w:ind w:left="283"/>
        <w:rPr>
          <w:rFonts w:asciiTheme="minorHAnsi" w:hAnsiTheme="minorHAnsi" w:cstheme="minorHAnsi"/>
          <w:color w:val="000000" w:themeColor="text1"/>
        </w:rPr>
      </w:pPr>
    </w:p>
    <w:p w14:paraId="3DB4B1BD" w14:textId="77777777" w:rsidR="00360A48" w:rsidRPr="00FD7670" w:rsidRDefault="00360A48" w:rsidP="00FD7670">
      <w:pPr>
        <w:rPr>
          <w:rFonts w:asciiTheme="minorHAnsi" w:hAnsiTheme="minorHAnsi" w:cstheme="minorHAnsi"/>
          <w:b/>
          <w:bCs/>
        </w:rPr>
      </w:pPr>
      <w:r w:rsidRPr="00FD7670">
        <w:rPr>
          <w:rFonts w:asciiTheme="minorHAnsi" w:hAnsiTheme="minorHAnsi" w:cstheme="minorHAnsi"/>
          <w:b/>
          <w:bCs/>
        </w:rPr>
        <w:t>Further guidance</w:t>
      </w:r>
    </w:p>
    <w:p w14:paraId="58136BC9" w14:textId="77777777" w:rsidR="00360A48" w:rsidRPr="00FD7670" w:rsidRDefault="00360A48" w:rsidP="00FD7670">
      <w:pPr>
        <w:rPr>
          <w:rFonts w:asciiTheme="minorHAnsi" w:hAnsiTheme="minorHAnsi" w:cstheme="minorHAnsi"/>
          <w:b/>
          <w:bCs/>
        </w:rPr>
      </w:pPr>
      <w:r w:rsidRPr="00FD7670">
        <w:rPr>
          <w:rFonts w:asciiTheme="minorHAnsi" w:hAnsiTheme="minorHAnsi" w:cstheme="minorHAnsi"/>
        </w:rPr>
        <w:t xml:space="preserve">The Information Commissioner’s Office </w:t>
      </w:r>
      <w:hyperlink r:id="rId8" w:history="1">
        <w:r w:rsidRPr="00FD7670">
          <w:rPr>
            <w:rStyle w:val="Hyperlink"/>
            <w:rFonts w:asciiTheme="minorHAnsi" w:hAnsiTheme="minorHAnsi" w:cstheme="minorHAnsi"/>
          </w:rPr>
          <w:t>www.ico.gov.uk/</w:t>
        </w:r>
      </w:hyperlink>
      <w:r w:rsidRPr="00FD7670">
        <w:rPr>
          <w:rFonts w:asciiTheme="minorHAnsi" w:hAnsiTheme="minorHAnsi" w:cstheme="minorHAnsi"/>
        </w:rPr>
        <w:t xml:space="preserve"> or helpline 0303 123 1113.</w:t>
      </w:r>
    </w:p>
    <w:p w14:paraId="535A83E5" w14:textId="77777777" w:rsidR="00DB30B4" w:rsidRDefault="00DB30B4" w:rsidP="00631E7F"/>
    <w:p w14:paraId="7E45D1C5" w14:textId="77777777" w:rsidR="008728B0" w:rsidRDefault="008728B0" w:rsidP="00631E7F"/>
    <w:p w14:paraId="6981356A" w14:textId="77777777" w:rsidR="008728B0" w:rsidRDefault="008728B0" w:rsidP="00631E7F"/>
    <w:p w14:paraId="7FAC9DFD" w14:textId="77777777" w:rsidR="008728B0" w:rsidRDefault="008728B0" w:rsidP="00631E7F"/>
    <w:p w14:paraId="5DDEC425" w14:textId="77777777" w:rsidR="008728B0" w:rsidRDefault="008728B0" w:rsidP="00631E7F"/>
    <w:p w14:paraId="132C47A6" w14:textId="77777777" w:rsidR="008728B0" w:rsidRDefault="008728B0" w:rsidP="00631E7F"/>
    <w:p w14:paraId="44E5B867" w14:textId="77777777" w:rsidR="008728B0" w:rsidRDefault="008728B0" w:rsidP="00631E7F"/>
    <w:p w14:paraId="21124B05" w14:textId="77777777" w:rsidR="008728B0" w:rsidRDefault="008728B0" w:rsidP="00631E7F"/>
    <w:p w14:paraId="5F85EDDA" w14:textId="77777777" w:rsidR="008728B0" w:rsidRDefault="008728B0" w:rsidP="00631E7F"/>
    <w:p w14:paraId="70B4A295" w14:textId="77777777" w:rsidR="008728B0" w:rsidRDefault="008728B0" w:rsidP="00631E7F"/>
    <w:p w14:paraId="6D332048" w14:textId="77777777" w:rsidR="008728B0" w:rsidRDefault="008728B0" w:rsidP="00631E7F"/>
    <w:p w14:paraId="534BE21A" w14:textId="77777777" w:rsidR="008728B0" w:rsidRDefault="008728B0" w:rsidP="00631E7F"/>
    <w:p w14:paraId="76C4B963" w14:textId="77777777" w:rsidR="008728B0" w:rsidRDefault="008728B0" w:rsidP="00631E7F"/>
    <w:p w14:paraId="18ED2E95" w14:textId="77777777" w:rsidR="008728B0" w:rsidRDefault="008728B0" w:rsidP="00631E7F"/>
    <w:p w14:paraId="2A36280D" w14:textId="77777777" w:rsidR="008728B0" w:rsidRDefault="008728B0" w:rsidP="00631E7F"/>
    <w:p w14:paraId="15825BE8" w14:textId="77777777" w:rsidR="008728B0" w:rsidRDefault="008728B0" w:rsidP="00631E7F"/>
    <w:p w14:paraId="0F357426" w14:textId="77777777" w:rsidR="008728B0" w:rsidRDefault="008728B0" w:rsidP="00631E7F"/>
    <w:p w14:paraId="1FC21C6F" w14:textId="77777777" w:rsidR="008728B0" w:rsidRDefault="008728B0" w:rsidP="00631E7F"/>
    <w:p w14:paraId="7373D0E6" w14:textId="77777777" w:rsidR="008728B0" w:rsidRDefault="008728B0" w:rsidP="00631E7F"/>
    <w:p w14:paraId="5AC78F4B" w14:textId="77777777" w:rsidR="008728B0" w:rsidRDefault="008728B0" w:rsidP="00631E7F"/>
    <w:p w14:paraId="5725A9FE" w14:textId="77777777" w:rsidR="008728B0" w:rsidRDefault="008728B0" w:rsidP="00631E7F"/>
    <w:p w14:paraId="5EFBA22D" w14:textId="77777777" w:rsidR="008728B0" w:rsidRDefault="008728B0" w:rsidP="00631E7F"/>
    <w:p w14:paraId="1504E98C" w14:textId="77777777" w:rsidR="008728B0" w:rsidRDefault="008728B0" w:rsidP="00631E7F"/>
    <w:p w14:paraId="709EFE2B" w14:textId="77777777" w:rsidR="008728B0" w:rsidRDefault="008728B0" w:rsidP="00631E7F"/>
    <w:p w14:paraId="203C1AFE" w14:textId="77777777" w:rsidR="008728B0" w:rsidRDefault="008728B0" w:rsidP="00631E7F"/>
    <w:p w14:paraId="1DF6C9FF" w14:textId="77777777" w:rsidR="008728B0" w:rsidRDefault="008728B0" w:rsidP="00631E7F"/>
    <w:p w14:paraId="3DE4C125" w14:textId="77777777" w:rsidR="008728B0" w:rsidRDefault="008728B0" w:rsidP="00631E7F"/>
    <w:p w14:paraId="24028B2B" w14:textId="77777777" w:rsidR="008728B0" w:rsidRDefault="008728B0" w:rsidP="00631E7F"/>
    <w:p w14:paraId="283A558D" w14:textId="77777777" w:rsidR="008728B0" w:rsidRDefault="008728B0" w:rsidP="00631E7F"/>
    <w:p w14:paraId="2BAFE764" w14:textId="77777777" w:rsidR="008728B0" w:rsidRDefault="008728B0" w:rsidP="00631E7F"/>
    <w:p w14:paraId="7BE1EF84" w14:textId="77777777" w:rsidR="00DB30B4" w:rsidRDefault="00DB30B4" w:rsidP="00631E7F"/>
    <w:p w14:paraId="3CDE2097" w14:textId="5282B837"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rPr>
          <w:rFonts w:asciiTheme="minorHAnsi" w:hAnsiTheme="minorHAnsi" w:cstheme="minorHAnsi"/>
        </w:rPr>
      </w:pPr>
    </w:p>
    <w:p w14:paraId="30951E4B" w14:textId="05F2A79A" w:rsidR="00631E7F" w:rsidRDefault="00631E7F" w:rsidP="00587AF8">
      <w:pPr>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rPr>
          <w:rFonts w:asciiTheme="minorHAnsi" w:hAnsiTheme="minorHAnsi" w:cstheme="minorHAnsi"/>
        </w:rPr>
      </w:pPr>
    </w:p>
    <w:p w14:paraId="653519BA" w14:textId="77777777" w:rsidR="00631E7F" w:rsidRDefault="00631E7F" w:rsidP="00587AF8">
      <w:pPr>
        <w:tabs>
          <w:tab w:val="right" w:leader="dot" w:pos="7371"/>
          <w:tab w:val="right" w:leader="dot" w:pos="9923"/>
        </w:tabs>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rPr>
          <w:rFonts w:asciiTheme="minorHAnsi" w:hAnsiTheme="minorHAnsi" w:cstheme="minorHAnsi"/>
        </w:rPr>
      </w:pPr>
    </w:p>
    <w:p w14:paraId="4128EF4E" w14:textId="16176CBF" w:rsidR="00631E7F" w:rsidRDefault="00631E7F" w:rsidP="00587AF8">
      <w:pPr>
        <w:tabs>
          <w:tab w:val="right" w:pos="6237"/>
          <w:tab w:val="right" w:leader="dot" w:pos="9923"/>
        </w:tabs>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line="480" w:lineRule="auto"/>
      </w:pPr>
    </w:p>
    <w:sectPr w:rsidR="0086356F" w:rsidRPr="00EE104C"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84FB" w14:textId="77777777" w:rsidR="009161D9" w:rsidRDefault="009161D9" w:rsidP="00AB39FC">
      <w:pPr>
        <w:spacing w:line="240" w:lineRule="auto"/>
      </w:pPr>
      <w:r>
        <w:separator/>
      </w:r>
    </w:p>
  </w:endnote>
  <w:endnote w:type="continuationSeparator" w:id="0">
    <w:p w14:paraId="2EC3ED14" w14:textId="77777777" w:rsidR="009161D9" w:rsidRDefault="009161D9" w:rsidP="00AB3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7A4A0CD3" w:rsidR="0016311F" w:rsidRPr="007918BE" w:rsidRDefault="0016311F" w:rsidP="009663BD">
        <w:pPr>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8728B0">
          <w:rPr>
            <w:rFonts w:asciiTheme="minorHAnsi" w:hAnsiTheme="minorHAnsi" w:cstheme="minorHAnsi"/>
            <w:sz w:val="16"/>
            <w:szCs w:val="16"/>
          </w:rPr>
          <w:t>Client access to records</w:t>
        </w:r>
        <w:r w:rsidR="0017766D">
          <w:rPr>
            <w:rFonts w:asciiTheme="minorHAnsi" w:hAnsiTheme="minorHAnsi" w:cstheme="minorHAnsi"/>
            <w:sz w:val="16"/>
            <w:szCs w:val="16"/>
          </w:rPr>
          <w:t xml:space="preserve"> –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E892" w14:textId="77777777" w:rsidR="009161D9" w:rsidRDefault="009161D9" w:rsidP="00AB39FC">
      <w:pPr>
        <w:spacing w:line="240" w:lineRule="auto"/>
      </w:pPr>
      <w:r>
        <w:separator/>
      </w:r>
    </w:p>
  </w:footnote>
  <w:footnote w:type="continuationSeparator" w:id="0">
    <w:p w14:paraId="04852020" w14:textId="77777777" w:rsidR="009161D9" w:rsidRDefault="009161D9" w:rsidP="00AB3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5D9"/>
    <w:multiLevelType w:val="hybridMultilevel"/>
    <w:tmpl w:val="994A1878"/>
    <w:lvl w:ilvl="0" w:tplc="053046C0">
      <w:start w:val="1"/>
      <w:numFmt w:val="bullet"/>
      <w:lvlText w:val=""/>
      <w:lvlJc w:val="left"/>
      <w:pPr>
        <w:tabs>
          <w:tab w:val="num" w:pos="360"/>
        </w:tabs>
        <w:ind w:left="357" w:hanging="35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78774811"/>
    <w:multiLevelType w:val="hybridMultilevel"/>
    <w:tmpl w:val="CDFA7D78"/>
    <w:lvl w:ilvl="0" w:tplc="5E60E0F4">
      <w:start w:val="1"/>
      <w:numFmt w:val="bullet"/>
      <w:lvlText w:val=""/>
      <w:lvlJc w:val="left"/>
      <w:pPr>
        <w:tabs>
          <w:tab w:val="num" w:pos="360"/>
        </w:tabs>
        <w:ind w:left="357" w:hanging="35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66D"/>
    <w:rsid w:val="0017778F"/>
    <w:rsid w:val="00193708"/>
    <w:rsid w:val="001D1C0F"/>
    <w:rsid w:val="001E2D0C"/>
    <w:rsid w:val="00254336"/>
    <w:rsid w:val="002A0217"/>
    <w:rsid w:val="002A4979"/>
    <w:rsid w:val="002D1163"/>
    <w:rsid w:val="00302D9F"/>
    <w:rsid w:val="00317090"/>
    <w:rsid w:val="0031753D"/>
    <w:rsid w:val="00333DFA"/>
    <w:rsid w:val="00334455"/>
    <w:rsid w:val="00340A07"/>
    <w:rsid w:val="00360A48"/>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E69DF"/>
    <w:rsid w:val="007F0880"/>
    <w:rsid w:val="007F3F12"/>
    <w:rsid w:val="00815C20"/>
    <w:rsid w:val="00833FE6"/>
    <w:rsid w:val="0086356F"/>
    <w:rsid w:val="008728B0"/>
    <w:rsid w:val="00883D59"/>
    <w:rsid w:val="009161D9"/>
    <w:rsid w:val="0094054B"/>
    <w:rsid w:val="009608E0"/>
    <w:rsid w:val="009663BD"/>
    <w:rsid w:val="00974D48"/>
    <w:rsid w:val="00975C7D"/>
    <w:rsid w:val="009816C7"/>
    <w:rsid w:val="009A6345"/>
    <w:rsid w:val="00A03732"/>
    <w:rsid w:val="00A429FF"/>
    <w:rsid w:val="00A43216"/>
    <w:rsid w:val="00A5710C"/>
    <w:rsid w:val="00A57365"/>
    <w:rsid w:val="00A80ECF"/>
    <w:rsid w:val="00A93D75"/>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30EB"/>
    <w:rsid w:val="00D5454B"/>
    <w:rsid w:val="00D6123C"/>
    <w:rsid w:val="00D67C5D"/>
    <w:rsid w:val="00D75AE0"/>
    <w:rsid w:val="00D970FE"/>
    <w:rsid w:val="00D976D7"/>
    <w:rsid w:val="00DB30B4"/>
    <w:rsid w:val="00DD014F"/>
    <w:rsid w:val="00E54749"/>
    <w:rsid w:val="00E92485"/>
    <w:rsid w:val="00E948C6"/>
    <w:rsid w:val="00EB7A84"/>
    <w:rsid w:val="00EE104C"/>
    <w:rsid w:val="00EF2B62"/>
    <w:rsid w:val="00F07ED6"/>
    <w:rsid w:val="00FA0019"/>
    <w:rsid w:val="00FD146A"/>
    <w:rsid w:val="00FD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semiHidden/>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5</cp:revision>
  <dcterms:created xsi:type="dcterms:W3CDTF">2021-11-10T10:33:00Z</dcterms:created>
  <dcterms:modified xsi:type="dcterms:W3CDTF">2021-11-10T12:16:00Z</dcterms:modified>
</cp:coreProperties>
</file>